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DB2" w:rsidRDefault="00FF7A0D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10</w:t>
      </w:r>
    </w:p>
    <w:p w:rsidR="00201DB2" w:rsidRDefault="00FF7A0D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дополнительному соглашению от 19.02.2026 № 1</w:t>
      </w:r>
    </w:p>
    <w:p w:rsidR="00201DB2" w:rsidRDefault="00FF7A0D">
      <w:pPr>
        <w:pStyle w:val="ConsPlusNormal"/>
        <w:spacing w:line="283" w:lineRule="exact"/>
        <w:jc w:val="right"/>
      </w:pPr>
      <w:r>
        <w:rPr>
          <w:sz w:val="28"/>
          <w:szCs w:val="28"/>
        </w:rPr>
        <w:t>к тарифному соглашению в сфере ОМС</w:t>
      </w:r>
    </w:p>
    <w:p w:rsidR="00201DB2" w:rsidRDefault="00FF7A0D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на территории Ставропольского края от 25.12.2025</w:t>
      </w:r>
    </w:p>
    <w:p w:rsidR="00201DB2" w:rsidRDefault="00201DB2">
      <w:pPr>
        <w:pStyle w:val="ConsPlusNormal"/>
        <w:spacing w:line="283" w:lineRule="exact"/>
        <w:rPr>
          <w:sz w:val="28"/>
          <w:szCs w:val="28"/>
        </w:rPr>
      </w:pPr>
    </w:p>
    <w:p w:rsidR="00201DB2" w:rsidRDefault="00FF7A0D">
      <w:pPr>
        <w:pStyle w:val="ConsPlusNormal"/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 которые вносятся в Приложение 20 к тарифному соглашению</w:t>
      </w:r>
    </w:p>
    <w:p w:rsidR="00201DB2" w:rsidRDefault="00FF7A0D">
      <w:pPr>
        <w:pStyle w:val="ConsPlusNormal"/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сфере обязательного медицинского страхования на территории Ставропольского края от 25 декабря 2025 года</w:t>
      </w:r>
    </w:p>
    <w:p w:rsidR="00201DB2" w:rsidRDefault="00201DB2">
      <w:pPr>
        <w:pStyle w:val="ConsPlusNormal"/>
        <w:spacing w:line="283" w:lineRule="exact"/>
        <w:jc w:val="right"/>
        <w:outlineLvl w:val="0"/>
        <w:rPr>
          <w:sz w:val="28"/>
          <w:szCs w:val="28"/>
        </w:rPr>
      </w:pPr>
      <w:bookmarkStart w:id="0" w:name="_GoBack"/>
      <w:bookmarkEnd w:id="0"/>
    </w:p>
    <w:p w:rsidR="00201DB2" w:rsidRDefault="00FF7A0D">
      <w:pPr>
        <w:pStyle w:val="ConsPlusNormal"/>
        <w:spacing w:line="283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>Таблицу 2 изложить в следующей редакции:</w:t>
      </w:r>
    </w:p>
    <w:p w:rsidR="00201DB2" w:rsidRDefault="00201DB2">
      <w:pPr>
        <w:pStyle w:val="ConsPlusNormal"/>
        <w:jc w:val="both"/>
      </w:pPr>
    </w:p>
    <w:p w:rsidR="00201DB2" w:rsidRDefault="00FF7A0D">
      <w:pPr>
        <w:pStyle w:val="ConsPlusNormal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«Таблица 2</w:t>
      </w:r>
    </w:p>
    <w:p w:rsidR="00201DB2" w:rsidRDefault="00201DB2">
      <w:pPr>
        <w:pStyle w:val="ConsPlusNormal"/>
        <w:jc w:val="both"/>
      </w:pPr>
    </w:p>
    <w:p w:rsidR="00201DB2" w:rsidRDefault="00FF7A0D">
      <w:pPr>
        <w:pStyle w:val="ConsPlusTitle"/>
        <w:spacing w:line="277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КСГ,</w:t>
      </w:r>
    </w:p>
    <w:p w:rsidR="00201DB2" w:rsidRDefault="00FF7A0D">
      <w:pPr>
        <w:pStyle w:val="ConsPlusTitle"/>
        <w:spacing w:line="277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стоимости случая лечения в условиях</w:t>
      </w:r>
    </w:p>
    <w:p w:rsidR="00201DB2" w:rsidRDefault="00FF7A0D">
      <w:pPr>
        <w:pStyle w:val="ConsPlusTitle"/>
        <w:spacing w:line="277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дневного стационара, по кот</w:t>
      </w:r>
      <w:r>
        <w:rPr>
          <w:rFonts w:ascii="Times New Roman" w:hAnsi="Times New Roman" w:cs="Times New Roman"/>
          <w:sz w:val="28"/>
          <w:szCs w:val="28"/>
        </w:rPr>
        <w:t>орым применяется КПУ, равный 1</w:t>
      </w:r>
    </w:p>
    <w:p w:rsidR="00201DB2" w:rsidRDefault="00201DB2">
      <w:pPr>
        <w:pStyle w:val="ConsPlusNormal"/>
        <w:spacing w:line="277" w:lineRule="exact"/>
        <w:jc w:val="both"/>
        <w:rPr>
          <w:sz w:val="28"/>
          <w:szCs w:val="28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572"/>
        <w:gridCol w:w="1134"/>
        <w:gridCol w:w="1417"/>
        <w:gridCol w:w="6661"/>
      </w:tblGrid>
      <w:tr w:rsidR="00201DB2">
        <w:trPr>
          <w:trHeight w:val="300"/>
        </w:trPr>
        <w:tc>
          <w:tcPr>
            <w:tcW w:w="57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№ стр.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№ КСГ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Код КСГ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Наименование КСГ</w:t>
            </w:r>
          </w:p>
        </w:tc>
      </w:tr>
      <w:tr w:rsidR="00201DB2">
        <w:trPr>
          <w:trHeight w:val="300"/>
        </w:trPr>
        <w:tc>
          <w:tcPr>
            <w:tcW w:w="57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201DB2">
            <w:pPr>
              <w:pStyle w:val="ConsPlusNormal"/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ds02.008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HD2602.008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1)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HD2602.009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2)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ds02.010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HD2602.010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3)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HD2602.011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4)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HD2602.012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2 с ПГТ-М)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6.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HD2602.013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2 с ПГТ-СП)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7.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HD2602.014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3 с ПГТ-М)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8.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ds02.015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HD2602.015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3 с ПГТ-СП)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9.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ds02.016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HD2602.016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4 с ПГТ-М)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10.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ds02.017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HD2602.017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Экстракорпоральное оплодотворение (уровень 4 с ПГТ-СП)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11.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ds12.022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CD2612.022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хронического вирусного гепатита C (уровень 1)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12.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ds12.023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CD2612.023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хроническо</w:t>
            </w:r>
            <w:r>
              <w:rPr>
                <w:color w:val="000000"/>
              </w:rPr>
              <w:t>го вирусного гепатита C (уровень 2)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13.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ds12.024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CD2612.024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хронического вирусного гепатита C (уровень 3)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14.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ds12.025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CD2612.025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хронического вирусного гепатита C (уровень 4)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15.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ds12.026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CD2612.026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хронического вирусного гепатита C (уровень 5)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16.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ds12.027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CD2612.027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хронического вирусного гепатита C (уровень 6)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17.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ds12.028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CD2612.028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хронического вирусного гепатита C (уровень 7)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18.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CD2636.014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(инициация или замена)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19.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ds36.015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CD2636.015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1)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20.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ds36.016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CD2636.016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 xml:space="preserve">Лечение с применением генно-инженерных биологических препаратов и селективных иммунодепрессантов </w:t>
            </w:r>
            <w:r>
              <w:rPr>
                <w:color w:val="000000"/>
              </w:rPr>
              <w:t>и ингибиторов янус-киназ (уровень 2)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21.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CD2636.017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3)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lastRenderedPageBreak/>
              <w:t>22.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CD2636.018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</w:t>
            </w:r>
            <w:r>
              <w:rPr>
                <w:color w:val="000000"/>
              </w:rPr>
              <w:t>ных биологических препаратов и селективных иммунодепрессантов и ингибиторов янус-киназ (уровень 4)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23.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CD2636.019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5)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24.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CD2636.020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 xml:space="preserve">Лечение с применением генно-инженерных биологических препаратов и селективных иммунодепрессантов </w:t>
            </w:r>
            <w:r>
              <w:rPr>
                <w:color w:val="000000"/>
              </w:rPr>
              <w:t>и ингибиторов янус-киназ (уровень 6)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25.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CD2636.021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7)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26.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CD2636.022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8)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27.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CD2636.023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9)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28.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CD2636.024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 xml:space="preserve">Лечение с применением генно-инженерных биологических препаратов и селективных иммунодепрессантов </w:t>
            </w:r>
            <w:r>
              <w:rPr>
                <w:color w:val="000000"/>
              </w:rPr>
              <w:t>и ингибиторов янус-киназ (уровень 10)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29.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CD2636.025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11)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30.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CD2636.026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12)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31.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CD2636.027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</w:t>
            </w:r>
            <w:r>
              <w:rPr>
                <w:color w:val="000000"/>
              </w:rPr>
              <w:t xml:space="preserve"> и ингибиторов янус-киназ (уровень 13)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32.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CD2636.028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14)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33.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CD2636.029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</w:t>
            </w:r>
            <w:r>
              <w:rPr>
                <w:color w:val="000000"/>
              </w:rPr>
              <w:t>нерных биологических препаратов и селективных иммунодепрессантов и ингибиторов янус-киназ (уровень 15)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34.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ds36.030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CD2636.030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16)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35.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CD2636.031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</w:t>
            </w:r>
            <w:r>
              <w:rPr>
                <w:color w:val="000000"/>
              </w:rPr>
              <w:t xml:space="preserve"> и ингибиторов янус-киназ (уровень 17)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36.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ds36.032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CD2636.032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18)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37.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ds36.033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CD2636.033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19)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38.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ds36.034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CD2636.034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Лечение с применением генно-инженерных биологических препаратов и селективных иммунодепрессантов и ингибиторов янус-киназ (уровень 20)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lastRenderedPageBreak/>
              <w:t>39.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HD2637.001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реабилитация пациентов с заболеваниями центральной нервной системы (2 балла по шкале</w:t>
            </w:r>
            <w:r>
              <w:rPr>
                <w:color w:val="000000"/>
                <w:sz w:val="22"/>
              </w:rPr>
              <w:t> реабилитационной маршрутизации)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40.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HD2637.002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реабилитация пациентов с заболеваниями центральной нервной системы (3 балла по шкале реабилитационной маршрутизации)</w:t>
            </w:r>
          </w:p>
        </w:tc>
      </w:tr>
      <w:tr w:rsidR="00201DB2">
        <w:trPr>
          <w:trHeight w:val="9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41.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HD2637.003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реабилитация пациентов с заболеваниями опорно-двигательного аппарата и периферической нервной системы (2 балла по шкале реабилитационной маршрутизации)</w:t>
            </w:r>
          </w:p>
        </w:tc>
      </w:tr>
      <w:tr w:rsidR="00201DB2">
        <w:trPr>
          <w:trHeight w:val="9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42.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HD2637.004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реабилитация пациентов с заболеваниями опорно-двигательного аппарата и периферической нервной системы (3 балла по шкале реабилитационной маршрутизации)</w:t>
            </w:r>
          </w:p>
        </w:tc>
      </w:tr>
      <w:tr w:rsidR="00201DB2">
        <w:trPr>
          <w:trHeight w:val="57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43.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HD2637.005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кардиореабилитация (2 балла по шкале реабилитационной м</w:t>
            </w:r>
            <w:r>
              <w:rPr>
                <w:color w:val="000000"/>
                <w:sz w:val="22"/>
              </w:rPr>
              <w:t>аршрутизации)</w:t>
            </w:r>
          </w:p>
        </w:tc>
      </w:tr>
      <w:tr w:rsidR="00201DB2">
        <w:trPr>
          <w:trHeight w:val="57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44.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HD2637.006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кардиореабилитация (3 балла по шкале реабилитационной маршрутизации)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45.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HD2637.007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реабилитация при других соматических заболеваниях (2 балла по шкале реабилитационной маршрутизации)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46.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HD2637.008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реабилитация при других соматических заболеваниях (3 балла по шкале реабилитационной маршрутизации)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47.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HD2637.009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Медицинская реабилитация детей, перенесших заболевания перинатального периода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48.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HD2637.010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Медицинская реабилитация детей с нарушениями слуха без замены речевого процессора системы кохлеарной имплантации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49.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HD2637.011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Медицинская реабилитация детей с поражениями центральной нервной системы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50.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HD2637.012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</w:t>
            </w:r>
            <w:r>
              <w:rPr>
                <w:color w:val="000000"/>
              </w:rPr>
              <w:t>ая реабилитация детей после хирургической коррекции врожденных пороков развития органов и систем</w:t>
            </w:r>
          </w:p>
        </w:tc>
      </w:tr>
      <w:tr w:rsidR="00201DB2">
        <w:trPr>
          <w:trHeight w:val="3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51.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HD2637.013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Медицинская реабилитация после онкоортопедических операций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52.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HD2637.014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Медицинская реабилитация по поводу постмастэктомического синдрома в онкологии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53.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HD2637.015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реабилитация после перенесенной коронавирусной инфекции COVID-19 (2 балла по шкале реабилитационной маршрутизации)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54.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HD2637.016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DB2" w:rsidRDefault="00FF7A0D">
            <w:pPr>
              <w:pStyle w:val="ConsPlusNormal"/>
            </w:pPr>
            <w:r>
              <w:rPr>
                <w:color w:val="000000"/>
                <w:sz w:val="22"/>
              </w:rPr>
              <w:t>Медицинская реабилитация после перенесенной коронавирусной инфекции COVID-19 (3 балла по шкале реабилитационной маршрутизации)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55.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HD2637.017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Медицинская реабилитация в детском нейрореабилитационном отделении в медицинской организации 4 группы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56.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HD2637.018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Медицинская реабилитация в детском соматическом реабилитационном отделении в медицинской организации 4 группы</w:t>
            </w:r>
          </w:p>
        </w:tc>
      </w:tr>
      <w:tr w:rsidR="00201DB2">
        <w:trPr>
          <w:trHeight w:val="600"/>
        </w:trPr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  <w:jc w:val="center"/>
            </w:pPr>
            <w:r>
              <w:rPr>
                <w:color w:val="000000"/>
              </w:rPr>
              <w:t>57.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ds37.019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HD2637.019</w:t>
            </w:r>
          </w:p>
        </w:tc>
        <w:tc>
          <w:tcPr>
            <w:tcW w:w="6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DB2" w:rsidRDefault="00FF7A0D">
            <w:pPr>
              <w:pStyle w:val="ConsPlusNormal"/>
            </w:pPr>
            <w:r>
              <w:rPr>
                <w:color w:val="000000"/>
              </w:rPr>
              <w:t>Медицинская реабилитация в детском ортопедическом реабилитационном отделении в медицинской органи</w:t>
            </w:r>
            <w:r>
              <w:rPr>
                <w:color w:val="000000"/>
              </w:rPr>
              <w:t>зации 4 группы</w:t>
            </w:r>
          </w:p>
        </w:tc>
      </w:tr>
    </w:tbl>
    <w:p w:rsidR="00201DB2" w:rsidRDefault="00FF7A0D">
      <w:pPr>
        <w:pStyle w:val="ConsPlusNormal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».</w:t>
      </w:r>
    </w:p>
    <w:sectPr w:rsidR="00201DB2" w:rsidSect="00FF7A0D">
      <w:headerReference w:type="default" r:id="rId6"/>
      <w:headerReference w:type="first" r:id="rId7"/>
      <w:pgSz w:w="11906" w:h="16838"/>
      <w:pgMar w:top="1015" w:right="852" w:bottom="1440" w:left="1133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DB2" w:rsidRDefault="00FF7A0D">
      <w:pPr>
        <w:pStyle w:val="ConsPlusNormal"/>
      </w:pPr>
      <w:r>
        <w:separator/>
      </w:r>
    </w:p>
  </w:endnote>
  <w:endnote w:type="continuationSeparator" w:id="0">
    <w:p w:rsidR="00201DB2" w:rsidRDefault="00FF7A0D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DB2" w:rsidRDefault="00FF7A0D">
      <w:pPr>
        <w:pStyle w:val="ConsPlusNormal"/>
      </w:pPr>
      <w:r>
        <w:separator/>
      </w:r>
    </w:p>
  </w:footnote>
  <w:footnote w:type="continuationSeparator" w:id="0">
    <w:p w:rsidR="00201DB2" w:rsidRDefault="00FF7A0D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3971713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FF7A0D" w:rsidRDefault="00FF7A0D">
        <w:pPr>
          <w:pStyle w:val="ab"/>
          <w:jc w:val="center"/>
        </w:pPr>
      </w:p>
      <w:p w:rsidR="00FF7A0D" w:rsidRDefault="00FF7A0D">
        <w:pPr>
          <w:pStyle w:val="ab"/>
          <w:jc w:val="center"/>
        </w:pPr>
      </w:p>
      <w:p w:rsidR="00FF7A0D" w:rsidRPr="00FF7A0D" w:rsidRDefault="00FF7A0D">
        <w:pPr>
          <w:pStyle w:val="ab"/>
          <w:jc w:val="center"/>
          <w:rPr>
            <w:sz w:val="28"/>
          </w:rPr>
        </w:pPr>
        <w:r w:rsidRPr="00FF7A0D">
          <w:rPr>
            <w:sz w:val="28"/>
          </w:rPr>
          <w:fldChar w:fldCharType="begin"/>
        </w:r>
        <w:r w:rsidRPr="00FF7A0D">
          <w:rPr>
            <w:sz w:val="28"/>
          </w:rPr>
          <w:instrText>PAGE   \* MERGEFORMAT</w:instrText>
        </w:r>
        <w:r w:rsidRPr="00FF7A0D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FF7A0D">
          <w:rPr>
            <w:sz w:val="28"/>
          </w:rPr>
          <w:fldChar w:fldCharType="end"/>
        </w:r>
      </w:p>
    </w:sdtContent>
  </w:sdt>
  <w:p w:rsidR="00FF7A0D" w:rsidRPr="00FF7A0D" w:rsidRDefault="00FF7A0D" w:rsidP="00FF7A0D">
    <w:pPr>
      <w:pStyle w:val="ab"/>
      <w:jc w:val="center"/>
      <w:rPr>
        <w:sz w:val="28"/>
        <w:szCs w:val="28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A0D" w:rsidRDefault="00FF7A0D">
    <w:pPr>
      <w:pStyle w:val="ab"/>
      <w:jc w:val="center"/>
    </w:pPr>
  </w:p>
  <w:p w:rsidR="00FF7A0D" w:rsidRDefault="00FF7A0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DB2"/>
    <w:rsid w:val="00201DB2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A91EC-4353-4F64-B3A1-62B730B9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1180</Words>
  <Characters>6730</Characters>
  <Application>Microsoft Office Word</Application>
  <DocSecurity>0</DocSecurity>
  <Lines>56</Lines>
  <Paragraphs>15</Paragraphs>
  <ScaleCrop>false</ScaleCrop>
  <Company>КонсультантПлюс Версия 4025.00.30</Company>
  <LinksUpToDate>false</LinksUpToDate>
  <CharactersWithSpaces>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"Тарифное соглашение в сфере обязательного медицинского страхования на территории Ставропольского края"
(заключено в г. Ставрополе 25.12.2025)
(вместе с "Перечнем основных терминов, понятий и сокращений, применяемых в настоящем тарифном соглашении", "Порядком применения показателей результативности деятельности медицинских организаций на территории Ставропольского края", "Перечнем медицинских организаций, оказывающих медицинскую помощь в амбулаторных, стационарных условиях, в условиях дневного стационара и </dc:title>
  <cp:lastModifiedBy>Матюшенко Екатерина Юрьевна</cp:lastModifiedBy>
  <cp:revision>8</cp:revision>
  <dcterms:created xsi:type="dcterms:W3CDTF">2026-02-16T07:26:00Z</dcterms:created>
  <dcterms:modified xsi:type="dcterms:W3CDTF">2026-02-25T10:16:00Z</dcterms:modified>
</cp:coreProperties>
</file>